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43" w:rsidRPr="001C0825" w:rsidRDefault="00712B43" w:rsidP="00712B43">
      <w:pPr>
        <w:spacing w:line="480" w:lineRule="auto"/>
        <w:ind w:left="1134"/>
        <w:rPr>
          <w:rFonts w:ascii="Century Gothic" w:hAnsi="Century Gothic"/>
          <w:b/>
          <w:sz w:val="28"/>
          <w:szCs w:val="28"/>
        </w:rPr>
      </w:pPr>
      <w:r w:rsidRPr="001C0825">
        <w:rPr>
          <w:noProof/>
          <w:sz w:val="28"/>
          <w:szCs w:val="28"/>
          <w:lang w:eastAsia="fr-FR"/>
        </w:rPr>
        <w:drawing>
          <wp:anchor distT="0" distB="0" distL="114300" distR="114300" simplePos="0" relativeHeight="251663360" behindDoc="0" locked="0" layoutInCell="1" allowOverlap="1" wp14:anchorId="43E98EF4" wp14:editId="721E0B6B">
            <wp:simplePos x="0" y="0"/>
            <wp:positionH relativeFrom="margin">
              <wp:align>left</wp:align>
            </wp:positionH>
            <wp:positionV relativeFrom="paragraph">
              <wp:posOffset>-200025</wp:posOffset>
            </wp:positionV>
            <wp:extent cx="695325" cy="61188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mcpartageo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325" cy="611886"/>
                    </a:xfrm>
                    <a:prstGeom prst="rect">
                      <a:avLst/>
                    </a:prstGeom>
                  </pic:spPr>
                </pic:pic>
              </a:graphicData>
            </a:graphic>
            <wp14:sizeRelH relativeFrom="page">
              <wp14:pctWidth>0</wp14:pctWidth>
            </wp14:sizeRelH>
            <wp14:sizeRelV relativeFrom="page">
              <wp14:pctHeight>0</wp14:pctHeight>
            </wp14:sizeRelV>
          </wp:anchor>
        </w:drawing>
      </w:r>
      <w:r w:rsidRPr="001C0825">
        <w:rPr>
          <w:rFonts w:ascii="Century Gothic" w:hAnsi="Century Gothic"/>
          <w:b/>
          <w:sz w:val="28"/>
          <w:szCs w:val="28"/>
        </w:rPr>
        <w:t>Lis et classe ces situations en deux ou trois catégories. Il faudra essayer de justifier ton choix.</w:t>
      </w:r>
    </w:p>
    <w:tbl>
      <w:tblPr>
        <w:tblStyle w:val="Grilledutableau"/>
        <w:tblW w:w="0" w:type="auto"/>
        <w:tblLook w:val="04A0" w:firstRow="1" w:lastRow="0" w:firstColumn="1" w:lastColumn="0" w:noHBand="0" w:noVBand="1"/>
      </w:tblPr>
      <w:tblGrid>
        <w:gridCol w:w="4664"/>
        <w:gridCol w:w="4664"/>
        <w:gridCol w:w="4664"/>
      </w:tblGrid>
      <w:tr w:rsidR="00712B43" w:rsidRPr="006117DB" w:rsidTr="00712B43">
        <w:trPr>
          <w:trHeight w:val="2098"/>
        </w:trPr>
        <w:tc>
          <w:tcPr>
            <w:tcW w:w="4664" w:type="dxa"/>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À la piscine, les élèves qui ne savent pas nager ne peuvent pas rentrer dans l’eau ; ils restent sur le bord du bassin.</w:t>
            </w:r>
          </w:p>
        </w:tc>
        <w:tc>
          <w:tcPr>
            <w:tcW w:w="4665" w:type="dxa"/>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 xml:space="preserve">À la piscine, les élèves n’ont </w:t>
            </w:r>
            <w:r>
              <w:rPr>
                <w:rFonts w:ascii="Century Gothic" w:hAnsi="Century Gothic"/>
                <w:sz w:val="24"/>
                <w:szCs w:val="24"/>
              </w:rPr>
              <w:t xml:space="preserve">pas </w:t>
            </w:r>
            <w:r w:rsidRPr="00995BE5">
              <w:rPr>
                <w:rFonts w:ascii="Century Gothic" w:hAnsi="Century Gothic"/>
                <w:sz w:val="24"/>
                <w:szCs w:val="24"/>
              </w:rPr>
              <w:t xml:space="preserve">le droit d’avoir une </w:t>
            </w:r>
            <w:r>
              <w:rPr>
                <w:rFonts w:ascii="Century Gothic" w:hAnsi="Century Gothic"/>
                <w:sz w:val="24"/>
                <w:szCs w:val="24"/>
              </w:rPr>
              <w:t>ceinture</w:t>
            </w:r>
            <w:r w:rsidRPr="00995BE5">
              <w:rPr>
                <w:rFonts w:ascii="Century Gothic" w:hAnsi="Century Gothic"/>
                <w:sz w:val="24"/>
                <w:szCs w:val="24"/>
              </w:rPr>
              <w:t>. Certains sont obligés de se tenir au bord du bassin.</w:t>
            </w:r>
          </w:p>
        </w:tc>
        <w:tc>
          <w:tcPr>
            <w:tcW w:w="4665" w:type="dxa"/>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 xml:space="preserve">À la piscine, les élèves qui ne savent pas nager peuvent mettre </w:t>
            </w:r>
            <w:r>
              <w:rPr>
                <w:rFonts w:ascii="Century Gothic" w:hAnsi="Century Gothic"/>
                <w:sz w:val="24"/>
                <w:szCs w:val="24"/>
              </w:rPr>
              <w:t xml:space="preserve">une ceinture </w:t>
            </w:r>
            <w:r w:rsidRPr="00995BE5">
              <w:rPr>
                <w:rFonts w:ascii="Century Gothic" w:hAnsi="Century Gothic"/>
                <w:sz w:val="24"/>
                <w:szCs w:val="24"/>
              </w:rPr>
              <w:t>pour faire les activités.</w:t>
            </w:r>
          </w:p>
        </w:tc>
      </w:tr>
      <w:tr w:rsidR="00712B43" w:rsidRPr="006117DB" w:rsidTr="00712B43">
        <w:trPr>
          <w:trHeight w:val="2098"/>
        </w:trPr>
        <w:tc>
          <w:tcPr>
            <w:tcW w:w="4664" w:type="dxa"/>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Jules est un élève malentendant. Aujourd’hui, il va au musée avec sa classe, mais il ne peut pas entendre les explications du conférencier.</w:t>
            </w:r>
          </w:p>
        </w:tc>
        <w:tc>
          <w:tcPr>
            <w:tcW w:w="4665" w:type="dxa"/>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Jules est un élève malentendant. Aujourd’hui, il va au musée avec sa classe. Il comprend les explications du conférencier qui sont aussi traduites en langue des signes.</w:t>
            </w:r>
          </w:p>
        </w:tc>
        <w:tc>
          <w:tcPr>
            <w:tcW w:w="4665" w:type="dxa"/>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Jules est un élève malentendant. Aujourd’hui, il doit aller dans une autre classe car il ne peut pas participer à la sortie au musée.</w:t>
            </w:r>
          </w:p>
        </w:tc>
      </w:tr>
      <w:tr w:rsidR="00712B43" w:rsidRPr="006117DB" w:rsidTr="00712B43">
        <w:trPr>
          <w:trHeight w:val="2098"/>
        </w:trPr>
        <w:tc>
          <w:tcPr>
            <w:tcW w:w="4664" w:type="dxa"/>
            <w:shd w:val="clear" w:color="auto" w:fill="FFFFFF" w:themeFill="background1"/>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Sarah a une grande difficulté pour écrire, ce qui la rend beaucoup plus lente que ses camarades. Ce matin, elle dispose de plus de temps que les autres élèves pour faire sa rédaction.</w:t>
            </w:r>
          </w:p>
        </w:tc>
        <w:tc>
          <w:tcPr>
            <w:tcW w:w="4665" w:type="dxa"/>
            <w:shd w:val="clear" w:color="auto" w:fill="FFFFFF" w:themeFill="background1"/>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 xml:space="preserve">Sarah a une grande difficulté pour écrire, ce qui la rend beaucoup plus lente que ses camarades. Ce matin, elle </w:t>
            </w:r>
            <w:r w:rsidRPr="00C42F61">
              <w:rPr>
                <w:rFonts w:ascii="Century Gothic" w:hAnsi="Century Gothic"/>
                <w:sz w:val="24"/>
                <w:szCs w:val="24"/>
              </w:rPr>
              <w:t>n’a pas réussi à terminer</w:t>
            </w:r>
            <w:r w:rsidRPr="00995BE5">
              <w:rPr>
                <w:rFonts w:ascii="Century Gothic" w:hAnsi="Century Gothic"/>
                <w:sz w:val="24"/>
                <w:szCs w:val="24"/>
              </w:rPr>
              <w:t xml:space="preserve"> </w:t>
            </w:r>
            <w:r>
              <w:rPr>
                <w:rFonts w:ascii="Century Gothic" w:hAnsi="Century Gothic"/>
                <w:sz w:val="24"/>
                <w:szCs w:val="24"/>
              </w:rPr>
              <w:t>sa rédaction.</w:t>
            </w:r>
          </w:p>
        </w:tc>
        <w:tc>
          <w:tcPr>
            <w:tcW w:w="4665" w:type="dxa"/>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 xml:space="preserve">Sarah a une grande difficulté pour écrire, ce qui la rend beaucoup plus lente que ses camarades. Ce matin, le maître </w:t>
            </w:r>
            <w:r>
              <w:rPr>
                <w:rFonts w:ascii="Century Gothic" w:hAnsi="Century Gothic"/>
                <w:sz w:val="24"/>
                <w:szCs w:val="24"/>
              </w:rPr>
              <w:t xml:space="preserve">lui donne un coloriage magique </w:t>
            </w:r>
            <w:r w:rsidRPr="00995BE5">
              <w:rPr>
                <w:rFonts w:ascii="Century Gothic" w:hAnsi="Century Gothic"/>
                <w:sz w:val="24"/>
                <w:szCs w:val="24"/>
              </w:rPr>
              <w:t xml:space="preserve">pendant que les </w:t>
            </w:r>
            <w:r>
              <w:rPr>
                <w:rFonts w:ascii="Century Gothic" w:hAnsi="Century Gothic"/>
                <w:sz w:val="24"/>
                <w:szCs w:val="24"/>
              </w:rPr>
              <w:t xml:space="preserve">autres </w:t>
            </w:r>
            <w:r w:rsidRPr="00995BE5">
              <w:rPr>
                <w:rFonts w:ascii="Century Gothic" w:hAnsi="Century Gothic"/>
                <w:sz w:val="24"/>
                <w:szCs w:val="24"/>
              </w:rPr>
              <w:t>élèves font une rédaction.</w:t>
            </w:r>
          </w:p>
        </w:tc>
      </w:tr>
      <w:tr w:rsidR="00712B43" w:rsidRPr="006117DB" w:rsidTr="00712B43">
        <w:trPr>
          <w:trHeight w:val="2098"/>
        </w:trPr>
        <w:tc>
          <w:tcPr>
            <w:tcW w:w="4664" w:type="dxa"/>
            <w:shd w:val="clear" w:color="auto" w:fill="FFFFFF" w:themeFill="background1"/>
            <w:vAlign w:val="center"/>
          </w:tcPr>
          <w:p w:rsidR="00712B43" w:rsidRPr="009A5C16" w:rsidRDefault="00712B43" w:rsidP="004074EF">
            <w:pPr>
              <w:jc w:val="both"/>
              <w:rPr>
                <w:rFonts w:ascii="Century Gothic" w:hAnsi="Century Gothic"/>
                <w:sz w:val="24"/>
                <w:szCs w:val="24"/>
              </w:rPr>
            </w:pPr>
            <w:r>
              <w:rPr>
                <w:rFonts w:ascii="Century Gothic" w:hAnsi="Century Gothic"/>
                <w:sz w:val="24"/>
                <w:szCs w:val="24"/>
              </w:rPr>
              <w:t xml:space="preserve">Les élèves de l’école des Marronniers adorent </w:t>
            </w:r>
            <w:r w:rsidRPr="00C42F61">
              <w:rPr>
                <w:rFonts w:ascii="Century Gothic" w:hAnsi="Century Gothic"/>
                <w:sz w:val="24"/>
                <w:szCs w:val="24"/>
              </w:rPr>
              <w:t>jouer aux billes</w:t>
            </w:r>
            <w:r>
              <w:rPr>
                <w:rFonts w:ascii="Century Gothic" w:hAnsi="Century Gothic"/>
                <w:sz w:val="24"/>
                <w:szCs w:val="24"/>
              </w:rPr>
              <w:t xml:space="preserve">. </w:t>
            </w:r>
            <w:r w:rsidRPr="009A5C16">
              <w:rPr>
                <w:rFonts w:ascii="Century Gothic" w:hAnsi="Century Gothic"/>
                <w:sz w:val="24"/>
                <w:szCs w:val="24"/>
              </w:rPr>
              <w:t>La direc</w:t>
            </w:r>
            <w:r>
              <w:rPr>
                <w:rFonts w:ascii="Century Gothic" w:hAnsi="Century Gothic"/>
                <w:sz w:val="24"/>
                <w:szCs w:val="24"/>
              </w:rPr>
              <w:t>trice décide d’acheter des billes pour la récréation, et les distribue seulement aux élèves qui n’en ont aucune.</w:t>
            </w:r>
          </w:p>
        </w:tc>
        <w:tc>
          <w:tcPr>
            <w:tcW w:w="4665" w:type="dxa"/>
            <w:shd w:val="clear" w:color="auto" w:fill="FFFFFF" w:themeFill="background1"/>
            <w:vAlign w:val="center"/>
          </w:tcPr>
          <w:p w:rsidR="00712B43" w:rsidRPr="009A5C16" w:rsidRDefault="00712B43" w:rsidP="004074EF">
            <w:pPr>
              <w:jc w:val="both"/>
              <w:rPr>
                <w:rFonts w:ascii="Century Gothic" w:hAnsi="Century Gothic"/>
                <w:sz w:val="24"/>
                <w:szCs w:val="24"/>
              </w:rPr>
            </w:pPr>
            <w:r>
              <w:rPr>
                <w:rFonts w:ascii="Century Gothic" w:hAnsi="Century Gothic"/>
                <w:sz w:val="24"/>
                <w:szCs w:val="24"/>
              </w:rPr>
              <w:t xml:space="preserve">Les élèves de l’école des Marronniers adorent jouer aux billes. </w:t>
            </w:r>
            <w:r w:rsidRPr="009A5C16">
              <w:rPr>
                <w:rFonts w:ascii="Century Gothic" w:hAnsi="Century Gothic"/>
                <w:sz w:val="24"/>
                <w:szCs w:val="24"/>
              </w:rPr>
              <w:t>La direc</w:t>
            </w:r>
            <w:r>
              <w:rPr>
                <w:rFonts w:ascii="Century Gothic" w:hAnsi="Century Gothic"/>
                <w:sz w:val="24"/>
                <w:szCs w:val="24"/>
              </w:rPr>
              <w:t>trice décide d’acheter des billes pour la récréation. Elle distribue un petit paquet de cinq billes à chaque élève de l’école.</w:t>
            </w:r>
          </w:p>
        </w:tc>
        <w:tc>
          <w:tcPr>
            <w:tcW w:w="4665" w:type="dxa"/>
            <w:vAlign w:val="center"/>
          </w:tcPr>
          <w:p w:rsidR="00712B43" w:rsidRPr="009A5C16" w:rsidRDefault="00712B43" w:rsidP="004074EF">
            <w:pPr>
              <w:jc w:val="both"/>
              <w:rPr>
                <w:rFonts w:ascii="Century Gothic" w:hAnsi="Century Gothic"/>
                <w:sz w:val="24"/>
                <w:szCs w:val="24"/>
              </w:rPr>
            </w:pPr>
            <w:r>
              <w:rPr>
                <w:rFonts w:ascii="Century Gothic" w:hAnsi="Century Gothic"/>
                <w:sz w:val="24"/>
                <w:szCs w:val="24"/>
              </w:rPr>
              <w:t>Les élèves de l’école des Marronniers adorent jouer aux billes, mais certains n’en ont pas et ne peuvent jamais y jouer pendant la récréation.</w:t>
            </w:r>
          </w:p>
        </w:tc>
      </w:tr>
    </w:tbl>
    <w:p w:rsidR="00712B43" w:rsidRDefault="00712B43">
      <w:pPr>
        <w:rPr>
          <w:sz w:val="8"/>
          <w:szCs w:val="8"/>
        </w:rPr>
      </w:pPr>
      <w:bookmarkStart w:id="0" w:name="_GoBack"/>
      <w:bookmarkEnd w:id="0"/>
    </w:p>
    <w:sectPr w:rsidR="00712B43" w:rsidSect="0005664B">
      <w:pgSz w:w="16838" w:h="11906" w:orient="landscape"/>
      <w:pgMar w:top="1276"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25"/>
    <w:rsid w:val="0005664B"/>
    <w:rsid w:val="001C0825"/>
    <w:rsid w:val="001E468A"/>
    <w:rsid w:val="002A027F"/>
    <w:rsid w:val="006117DB"/>
    <w:rsid w:val="006E3346"/>
    <w:rsid w:val="00712B43"/>
    <w:rsid w:val="0076001F"/>
    <w:rsid w:val="00837BDC"/>
    <w:rsid w:val="0088431A"/>
    <w:rsid w:val="008B24AF"/>
    <w:rsid w:val="00995BE5"/>
    <w:rsid w:val="009A5C16"/>
    <w:rsid w:val="00A21A8F"/>
    <w:rsid w:val="00B202CD"/>
    <w:rsid w:val="00C34909"/>
    <w:rsid w:val="00C42F61"/>
    <w:rsid w:val="00E31E23"/>
    <w:rsid w:val="00F91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D0BC"/>
  <w15:chartTrackingRefBased/>
  <w15:docId w15:val="{5C4FDBBC-532A-4E0B-9312-9EAE5F8D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Bachimont</dc:creator>
  <cp:keywords/>
  <dc:description/>
  <cp:lastModifiedBy>Bachimont</cp:lastModifiedBy>
  <cp:revision>6</cp:revision>
  <dcterms:created xsi:type="dcterms:W3CDTF">2020-02-15T18:27:00Z</dcterms:created>
  <dcterms:modified xsi:type="dcterms:W3CDTF">2020-02-17T17:13:00Z</dcterms:modified>
</cp:coreProperties>
</file>